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B" w:rsidRPr="00B26892" w:rsidRDefault="00D0706B" w:rsidP="00D0706B">
      <w:pPr>
        <w:jc w:val="center"/>
        <w:rPr>
          <w:rFonts w:ascii="Garamond" w:hAnsi="Garamond" w:cs="Times New Roman"/>
          <w:b/>
          <w:szCs w:val="24"/>
        </w:rPr>
      </w:pPr>
      <w:bookmarkStart w:id="0" w:name="_GoBack"/>
      <w:bookmarkEnd w:id="0"/>
      <w:r w:rsidRPr="00B26892">
        <w:rPr>
          <w:rFonts w:ascii="Garamond" w:hAnsi="Garamond" w:cs="Times New Roman"/>
          <w:b/>
          <w:szCs w:val="24"/>
        </w:rPr>
        <w:t xml:space="preserve">Cost </w:t>
      </w:r>
      <w:proofErr w:type="spellStart"/>
      <w:r w:rsidRPr="00B26892">
        <w:rPr>
          <w:rFonts w:ascii="Garamond" w:hAnsi="Garamond" w:cs="Times New Roman"/>
          <w:b/>
          <w:szCs w:val="24"/>
        </w:rPr>
        <w:t>Allowability</w:t>
      </w:r>
      <w:proofErr w:type="spellEnd"/>
      <w:r w:rsidRPr="00B26892">
        <w:rPr>
          <w:rFonts w:ascii="Garamond" w:hAnsi="Garamond" w:cs="Times New Roman"/>
          <w:b/>
          <w:szCs w:val="24"/>
        </w:rPr>
        <w:t xml:space="preserve"> Policy</w:t>
      </w:r>
    </w:p>
    <w:p w:rsidR="00D0706B" w:rsidRPr="00B26892" w:rsidRDefault="00D0706B" w:rsidP="00D0706B">
      <w:pPr>
        <w:rPr>
          <w:rFonts w:ascii="Garamond" w:hAnsi="Garamond" w:cs="Times New Roman"/>
          <w:b/>
          <w:sz w:val="22"/>
        </w:rPr>
      </w:pPr>
    </w:p>
    <w:p w:rsidR="00D0706B" w:rsidRPr="00B26892" w:rsidRDefault="00D0706B" w:rsidP="00D0706B">
      <w:pPr>
        <w:rPr>
          <w:rFonts w:ascii="Garamond" w:hAnsi="Garamond" w:cs="Times New Roman"/>
          <w:b/>
          <w:sz w:val="22"/>
        </w:rPr>
      </w:pPr>
      <w:r w:rsidRPr="00B26892">
        <w:rPr>
          <w:rFonts w:ascii="Garamond" w:hAnsi="Garamond" w:cs="Times New Roman"/>
          <w:b/>
          <w:sz w:val="22"/>
        </w:rPr>
        <w:t>Purpose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t xml:space="preserve">This policy, in conjunction with </w:t>
      </w:r>
      <w:hyperlink r:id="rId5" w:history="1">
        <w:r w:rsidRPr="00B26892">
          <w:rPr>
            <w:rStyle w:val="Hyperlink"/>
            <w:rFonts w:ascii="Garamond" w:hAnsi="Garamond" w:cs="Times New Roman"/>
            <w:sz w:val="22"/>
          </w:rPr>
          <w:t xml:space="preserve">Barnard’s </w:t>
        </w:r>
        <w:proofErr w:type="gramStart"/>
        <w:r w:rsidRPr="00B26892">
          <w:rPr>
            <w:rStyle w:val="Hyperlink"/>
            <w:rFonts w:ascii="Garamond" w:hAnsi="Garamond" w:cs="Times New Roman"/>
            <w:sz w:val="22"/>
          </w:rPr>
          <w:t>Purchasing</w:t>
        </w:r>
        <w:proofErr w:type="gramEnd"/>
        <w:r w:rsidRPr="00B26892">
          <w:rPr>
            <w:rStyle w:val="Hyperlink"/>
            <w:rFonts w:ascii="Garamond" w:hAnsi="Garamond" w:cs="Times New Roman"/>
            <w:sz w:val="22"/>
          </w:rPr>
          <w:t xml:space="preserve"> and Expenditure Policy</w:t>
        </w:r>
      </w:hyperlink>
      <w:r w:rsidRPr="00B26892">
        <w:rPr>
          <w:rFonts w:ascii="Garamond" w:hAnsi="Garamond" w:cs="Times New Roman"/>
          <w:sz w:val="22"/>
        </w:rPr>
        <w:t>, provides guidance to ensure the consistent treatment of grant-related costs and to facilitate an understanding of allowable costs for federal grant awards.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</w:p>
    <w:p w:rsidR="00D0706B" w:rsidRPr="00B26892" w:rsidRDefault="00D0706B" w:rsidP="00D0706B">
      <w:pPr>
        <w:rPr>
          <w:rFonts w:ascii="Garamond" w:hAnsi="Garamond" w:cs="Times New Roman"/>
          <w:b/>
          <w:sz w:val="22"/>
        </w:rPr>
      </w:pPr>
      <w:r w:rsidRPr="00B26892">
        <w:rPr>
          <w:rFonts w:ascii="Garamond" w:hAnsi="Garamond" w:cs="Times New Roman"/>
          <w:b/>
          <w:sz w:val="22"/>
        </w:rPr>
        <w:t>Policy and Procedures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t xml:space="preserve">The </w:t>
      </w:r>
      <w:proofErr w:type="spellStart"/>
      <w:r w:rsidRPr="00B26892">
        <w:rPr>
          <w:rFonts w:ascii="Garamond" w:hAnsi="Garamond" w:cs="Times New Roman"/>
          <w:sz w:val="22"/>
        </w:rPr>
        <w:t>allowability</w:t>
      </w:r>
      <w:proofErr w:type="spellEnd"/>
      <w:r w:rsidRPr="00B26892">
        <w:rPr>
          <w:rFonts w:ascii="Garamond" w:hAnsi="Garamond" w:cs="Times New Roman"/>
          <w:sz w:val="22"/>
        </w:rPr>
        <w:t xml:space="preserve"> of costs incurred by institutions of higher education is determined in accordance with the provisions of the </w:t>
      </w:r>
      <w:r w:rsidRPr="00B26892">
        <w:rPr>
          <w:rFonts w:ascii="Garamond" w:hAnsi="Garamond" w:cs="Times New Roman"/>
          <w:i/>
          <w:iCs/>
          <w:sz w:val="22"/>
        </w:rPr>
        <w:t>“</w:t>
      </w:r>
      <w:hyperlink r:id="rId6" w:history="1">
        <w:r w:rsidRPr="00B26892">
          <w:rPr>
            <w:rStyle w:val="Hyperlink"/>
            <w:rFonts w:ascii="Garamond" w:hAnsi="Garamond" w:cs="Times New Roman"/>
            <w:iCs/>
            <w:sz w:val="22"/>
          </w:rPr>
          <w:t>Uniform Administrative Requirements, Cost Principles, and Audit Requirements for Federal Awards; Final Rule</w:t>
        </w:r>
      </w:hyperlink>
      <w:r w:rsidRPr="00B26892">
        <w:rPr>
          <w:rFonts w:ascii="Garamond" w:hAnsi="Garamond" w:cs="Times New Roman"/>
          <w:iCs/>
          <w:sz w:val="22"/>
        </w:rPr>
        <w:t>”</w:t>
      </w:r>
      <w:r w:rsidRPr="00B26892">
        <w:rPr>
          <w:rFonts w:ascii="Garamond" w:hAnsi="Garamond" w:cs="Times New Roman"/>
          <w:sz w:val="22"/>
        </w:rPr>
        <w:t> (Uniform Guidance), published by the Office of Management and Budget (OMB). 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t xml:space="preserve">Unallowable costs, as defined by the federal government, are not reimbursable by federal grants and must be charged to an appropriate College account code. 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t xml:space="preserve">Some unallowable items to keep in mind are below; additional information is available </w:t>
      </w:r>
      <w:hyperlink r:id="rId7" w:history="1">
        <w:r w:rsidRPr="00B26892">
          <w:rPr>
            <w:rStyle w:val="Hyperlink"/>
            <w:rFonts w:ascii="Garamond" w:hAnsi="Garamond" w:cs="Times New Roman"/>
            <w:sz w:val="22"/>
          </w:rPr>
          <w:t>here</w:t>
        </w:r>
      </w:hyperlink>
      <w:r w:rsidRPr="00B26892">
        <w:rPr>
          <w:rFonts w:ascii="Garamond" w:hAnsi="Garamond" w:cs="Times New Roman"/>
          <w:sz w:val="22"/>
        </w:rPr>
        <w:t xml:space="preserve">. </w:t>
      </w:r>
    </w:p>
    <w:p w:rsidR="00D0706B" w:rsidRPr="00B26892" w:rsidRDefault="00D0706B" w:rsidP="00D0706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Alcoholic beverages are unallowable unless the nature of the research specifically requires the purchase and use and the sponsor explicitly approves the cost.</w:t>
      </w:r>
    </w:p>
    <w:p w:rsidR="00D0706B" w:rsidRPr="00B26892" w:rsidRDefault="00D0706B" w:rsidP="00D0706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Entertainment costs (such as tickets to shows or events) that are primarily for amusement or social activities.</w:t>
      </w:r>
    </w:p>
    <w:p w:rsidR="00D0706B" w:rsidRPr="00B26892" w:rsidRDefault="00D0706B" w:rsidP="00D0706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Routine copying and postage charges as well as general office supplies and items that are not aligned with specific projects should not be charged to federal projects.</w:t>
      </w:r>
    </w:p>
    <w:p w:rsidR="00D0706B" w:rsidRPr="00B26892" w:rsidRDefault="00D0706B" w:rsidP="00D0706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Clerical/administrative salaries (including secretarial) must be explicitly budgeted and justified in the budget narrative. Principal Investigators (PIs) are responsible for establishing that the nature of work performed on a research project necessitates clerical and administrative support beyond that routinely provided by the department, and a specific detailed budget must be included in the proposal.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t xml:space="preserve">The Uniform Guidance establishes the principles relating to expenditures charged to federal grants or contracts. Essentially, all costs must be: 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b/>
          <w:sz w:val="22"/>
        </w:rPr>
        <w:t>Reasonable</w:t>
      </w:r>
      <w:r w:rsidRPr="00B26892">
        <w:rPr>
          <w:rFonts w:ascii="Garamond" w:hAnsi="Garamond" w:cs="Times New Roman"/>
          <w:sz w:val="22"/>
        </w:rPr>
        <w:t xml:space="preserve"> – expenditures pass the “prudent person” test; 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b/>
          <w:sz w:val="22"/>
        </w:rPr>
        <w:t>Allocable</w:t>
      </w:r>
      <w:r w:rsidRPr="00B26892">
        <w:rPr>
          <w:rFonts w:ascii="Garamond" w:hAnsi="Garamond" w:cs="Times New Roman"/>
          <w:sz w:val="22"/>
        </w:rPr>
        <w:t xml:space="preserve"> – expenses can be allocated to a specific project;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b/>
          <w:sz w:val="22"/>
        </w:rPr>
        <w:t>Consistent</w:t>
      </w:r>
      <w:r w:rsidRPr="00B26892">
        <w:rPr>
          <w:rFonts w:ascii="Garamond" w:hAnsi="Garamond" w:cs="Times New Roman"/>
          <w:sz w:val="22"/>
        </w:rPr>
        <w:t xml:space="preserve"> – similar expenses are treated the same in similar circumstances; and 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b/>
          <w:sz w:val="22"/>
        </w:rPr>
        <w:t>Allowable</w:t>
      </w:r>
      <w:r w:rsidRPr="00B26892">
        <w:rPr>
          <w:rFonts w:ascii="Garamond" w:hAnsi="Garamond" w:cs="Times New Roman"/>
          <w:sz w:val="22"/>
        </w:rPr>
        <w:t xml:space="preserve"> – fully in line with the respective sponsored agreement(s).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t>In order to determine whether a cost is allowable, PIs and other persons responsible for decision-making should be able to affirmatively respond to the following questions:</w:t>
      </w:r>
    </w:p>
    <w:p w:rsidR="00D0706B" w:rsidRPr="00B26892" w:rsidRDefault="00D0706B" w:rsidP="00D0706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Does the cost reflect what a prudent person would purchase and pay?</w:t>
      </w:r>
    </w:p>
    <w:p w:rsidR="00D0706B" w:rsidRPr="00B26892" w:rsidRDefault="00D0706B" w:rsidP="00D0706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Is the type of cost generally recognized as necessary for the project’s operation?</w:t>
      </w:r>
    </w:p>
    <w:p w:rsidR="00D0706B" w:rsidRPr="00B26892" w:rsidRDefault="00D0706B" w:rsidP="00D0706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Does the cost fall within Barnard policy as well as federal laws and regulations and sponsored agreement terms and conditions?</w:t>
      </w:r>
    </w:p>
    <w:p w:rsidR="00D0706B" w:rsidRPr="00B26892" w:rsidRDefault="00D0706B" w:rsidP="00D0706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Have all purchasing and hiring decisions associated with the cost been made in accordance with ethical codes of conduct, including potential financial conflicts of interest?</w:t>
      </w:r>
    </w:p>
    <w:p w:rsidR="00D0706B" w:rsidRPr="00B26892" w:rsidRDefault="00D0706B" w:rsidP="00D0706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B26892">
        <w:rPr>
          <w:rFonts w:ascii="Garamond" w:hAnsi="Garamond" w:cs="Times New Roman"/>
        </w:rPr>
        <w:t>Will the goods and services be received and used within the approved project period? (Exceptions to this may be granted for pre-award costs or continuation projects only when allowed by the sponsored agreement terms and conditions and funded by the agency.)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t xml:space="preserve">In the event that a PI proposes to charge a direct cost to a federal grant that may fail to pass one or more of the tests of </w:t>
      </w:r>
      <w:proofErr w:type="spellStart"/>
      <w:r w:rsidRPr="00B26892">
        <w:rPr>
          <w:rFonts w:ascii="Garamond" w:hAnsi="Garamond" w:cs="Times New Roman"/>
          <w:sz w:val="22"/>
        </w:rPr>
        <w:t>allowability</w:t>
      </w:r>
      <w:proofErr w:type="spellEnd"/>
      <w:r w:rsidRPr="00B26892">
        <w:rPr>
          <w:rFonts w:ascii="Garamond" w:hAnsi="Garamond" w:cs="Times New Roman"/>
          <w:sz w:val="22"/>
        </w:rPr>
        <w:t xml:space="preserve"> above, the PI must obtain written approval from the cognizant agency to avoid the possibility of a disallowance.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lastRenderedPageBreak/>
        <w:t xml:space="preserve">If there are discrepancies between Barnard’s policy and a specific federal agency policy and/or sponsor agreement terms and conditions, agency policy and sponsor agreement provisions will apply. </w:t>
      </w:r>
    </w:p>
    <w:p w:rsidR="00D0706B" w:rsidRPr="00B26892" w:rsidRDefault="00D0706B" w:rsidP="00D0706B">
      <w:pPr>
        <w:rPr>
          <w:rFonts w:ascii="Garamond" w:hAnsi="Garamond" w:cs="Times New Roman"/>
          <w:sz w:val="22"/>
        </w:rPr>
      </w:pPr>
    </w:p>
    <w:p w:rsidR="00D326E2" w:rsidRPr="00B26892" w:rsidRDefault="00D0706B" w:rsidP="00D0706B">
      <w:pPr>
        <w:tabs>
          <w:tab w:val="num" w:pos="720"/>
        </w:tabs>
        <w:rPr>
          <w:rFonts w:ascii="Garamond" w:hAnsi="Garamond" w:cs="Times New Roman"/>
          <w:sz w:val="22"/>
        </w:rPr>
      </w:pPr>
      <w:r w:rsidRPr="00B26892">
        <w:rPr>
          <w:rFonts w:ascii="Garamond" w:hAnsi="Garamond" w:cs="Times New Roman"/>
          <w:sz w:val="22"/>
        </w:rPr>
        <w:t xml:space="preserve">If there are any questions or concerns about the </w:t>
      </w:r>
      <w:proofErr w:type="spellStart"/>
      <w:r w:rsidRPr="00B26892">
        <w:rPr>
          <w:rFonts w:ascii="Garamond" w:hAnsi="Garamond" w:cs="Times New Roman"/>
          <w:sz w:val="22"/>
        </w:rPr>
        <w:t>allowability</w:t>
      </w:r>
      <w:proofErr w:type="spellEnd"/>
      <w:r w:rsidRPr="00B26892">
        <w:rPr>
          <w:rFonts w:ascii="Garamond" w:hAnsi="Garamond" w:cs="Times New Roman"/>
          <w:sz w:val="22"/>
        </w:rPr>
        <w:t xml:space="preserve"> of certain costs, please contact </w:t>
      </w:r>
      <w:r w:rsidRPr="00B26892">
        <w:rPr>
          <w:rFonts w:ascii="Garamond" w:hAnsi="Garamond" w:cs="Times New Roman"/>
          <w:b/>
          <w:bCs/>
          <w:sz w:val="22"/>
        </w:rPr>
        <w:t xml:space="preserve">Jeffrey </w:t>
      </w:r>
      <w:proofErr w:type="spellStart"/>
      <w:r w:rsidRPr="00B26892">
        <w:rPr>
          <w:rFonts w:ascii="Garamond" w:hAnsi="Garamond" w:cs="Times New Roman"/>
          <w:b/>
          <w:bCs/>
          <w:sz w:val="22"/>
        </w:rPr>
        <w:t>Colford</w:t>
      </w:r>
      <w:proofErr w:type="spellEnd"/>
      <w:r w:rsidRPr="00B26892">
        <w:rPr>
          <w:rFonts w:ascii="Garamond" w:hAnsi="Garamond" w:cs="Times New Roman"/>
          <w:b/>
          <w:bCs/>
          <w:sz w:val="22"/>
        </w:rPr>
        <w:t xml:space="preserve">, </w:t>
      </w:r>
      <w:r w:rsidRPr="00B26892">
        <w:rPr>
          <w:rFonts w:ascii="Garamond" w:hAnsi="Garamond" w:cs="Times New Roman"/>
          <w:sz w:val="22"/>
        </w:rPr>
        <w:t>Associate Controller, Financial Reporting, at 212.854.7734.</w:t>
      </w:r>
    </w:p>
    <w:sectPr w:rsidR="00D326E2" w:rsidRPr="00B2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01D3"/>
    <w:multiLevelType w:val="hybridMultilevel"/>
    <w:tmpl w:val="60C8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939"/>
    <w:multiLevelType w:val="hybridMultilevel"/>
    <w:tmpl w:val="0618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B"/>
    <w:rsid w:val="00B26892"/>
    <w:rsid w:val="00C35A59"/>
    <w:rsid w:val="00D0706B"/>
    <w:rsid w:val="00D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9D96F-36E3-44CF-B34C-C3D3835A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6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A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5A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5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5A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5A59"/>
    <w:rPr>
      <w:b/>
      <w:bCs/>
    </w:rPr>
  </w:style>
  <w:style w:type="character" w:styleId="Emphasis">
    <w:name w:val="Emphasis"/>
    <w:basedOn w:val="DefaultParagraphFont"/>
    <w:uiPriority w:val="20"/>
    <w:qFormat/>
    <w:rsid w:val="00C35A59"/>
    <w:rPr>
      <w:i/>
      <w:iCs/>
    </w:rPr>
  </w:style>
  <w:style w:type="paragraph" w:styleId="ListParagraph">
    <w:name w:val="List Paragraph"/>
    <w:basedOn w:val="Normal"/>
    <w:uiPriority w:val="34"/>
    <w:qFormat/>
    <w:rsid w:val="00C35A5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07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rd.edu/sites/default/files/inline/expenditurepolicy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text-idx?SID=ed90f54836feb6a994f657188eb05e33&amp;node=2%3A1.1.2.2.1&amp;rgn=div5" TargetMode="External"/><Relationship Id="rId5" Type="http://schemas.openxmlformats.org/officeDocument/2006/relationships/hyperlink" Target="http://barnard.edu/sites/default/files/inline/expenditurepolicy_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Hanenkrat</dc:creator>
  <cp:keywords/>
  <dc:description/>
  <cp:lastModifiedBy>Kaley Hanenkrat</cp:lastModifiedBy>
  <cp:revision>2</cp:revision>
  <dcterms:created xsi:type="dcterms:W3CDTF">2015-06-04T16:47:00Z</dcterms:created>
  <dcterms:modified xsi:type="dcterms:W3CDTF">2015-06-04T16:51:00Z</dcterms:modified>
</cp:coreProperties>
</file>